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BFF" w:rsidRPr="00CA1BFF" w:rsidRDefault="00CA1BFF" w:rsidP="00CA1BFF">
      <w:pPr>
        <w:jc w:val="center"/>
        <w:rPr>
          <w:rFonts w:hint="eastAsia"/>
          <w:sz w:val="32"/>
          <w:szCs w:val="32"/>
        </w:rPr>
      </w:pPr>
      <w:hyperlink r:id="rId6" w:history="1">
        <w:r w:rsidRPr="00CA1BFF">
          <w:rPr>
            <w:rFonts w:ascii="細明體" w:eastAsia="細明體" w:hAnsi="細明體" w:cs="新細明體" w:hint="eastAsia"/>
            <w:b/>
            <w:color w:val="000000" w:themeColor="text1"/>
            <w:kern w:val="0"/>
            <w:sz w:val="32"/>
            <w:szCs w:val="32"/>
            <w:u w:val="single"/>
          </w:rPr>
          <w:t>特殊教育學生獎補助辦法</w:t>
        </w:r>
      </w:hyperlink>
      <w:r w:rsidRPr="00CA1BFF">
        <w:rPr>
          <w:rFonts w:ascii="細明體" w:eastAsia="細明體" w:hAnsi="細明體" w:cs="新細明體" w:hint="eastAsia"/>
          <w:color w:val="000000"/>
          <w:kern w:val="0"/>
          <w:sz w:val="32"/>
          <w:szCs w:val="32"/>
        </w:rPr>
        <w:t> </w:t>
      </w:r>
      <w:r w:rsidRPr="00CA1BFF">
        <w:rPr>
          <w:rFonts w:ascii="細明體" w:eastAsia="細明體" w:hAnsi="細明體" w:cs="新細明體" w:hint="eastAsia"/>
          <w:color w:val="000000"/>
          <w:kern w:val="0"/>
          <w:szCs w:val="24"/>
        </w:rPr>
        <w:t>( 民國 100 年 03 月 04 日 修正 )</w:t>
      </w:r>
    </w:p>
    <w:p w:rsidR="00CA1BFF" w:rsidRPr="00CA1BFF" w:rsidRDefault="00CA1BFF" w:rsidP="00CA1BFF">
      <w:pPr>
        <w:widowControl/>
        <w:adjustRightInd w:val="0"/>
        <w:snapToGrid w:val="0"/>
        <w:spacing w:before="100" w:beforeAutospacing="1" w:after="100" w:afterAutospacing="1" w:line="460" w:lineRule="atLeast"/>
        <w:jc w:val="center"/>
        <w:rPr>
          <w:rFonts w:ascii="細明體" w:eastAsia="細明體" w:hAnsi="細明體" w:cs="新細明體" w:hint="eastAsia"/>
          <w:color w:val="000000"/>
          <w:kern w:val="0"/>
          <w:sz w:val="16"/>
          <w:szCs w:val="16"/>
        </w:rPr>
      </w:pPr>
      <w:r w:rsidRPr="00CA1BFF">
        <w:rPr>
          <w:rFonts w:ascii="細明體" w:eastAsia="細明體" w:hAnsi="細明體" w:cs="新細明體" w:hint="eastAsia"/>
          <w:color w:val="000000"/>
          <w:kern w:val="0"/>
          <w:sz w:val="28"/>
          <w:szCs w:val="28"/>
        </w:rPr>
        <w:t>第一條    本辦法依特殊教育法第三十二條第三項、第四十條第三項及身心障礙者權益保障法第三十二條第一項規定訂定之。</w:t>
      </w:r>
    </w:p>
    <w:p w:rsidR="00CA1BFF" w:rsidRPr="00CA1BFF" w:rsidRDefault="00CA1BFF" w:rsidP="00CA1BFF">
      <w:pPr>
        <w:widowControl/>
        <w:adjustRightInd w:val="0"/>
        <w:snapToGrid w:val="0"/>
        <w:spacing w:before="100" w:beforeAutospacing="1" w:after="100" w:afterAutospacing="1" w:line="460" w:lineRule="atLeast"/>
        <w:ind w:left="895" w:hanging="840"/>
        <w:rPr>
          <w:rFonts w:ascii="新細明體" w:eastAsia="新細明體" w:hAnsi="新細明體" w:cs="新細明體" w:hint="eastAsia"/>
          <w:color w:val="000000"/>
          <w:kern w:val="0"/>
          <w:szCs w:val="24"/>
        </w:rPr>
      </w:pPr>
      <w:r w:rsidRPr="00CA1BFF">
        <w:rPr>
          <w:rFonts w:ascii="新細明體" w:eastAsia="新細明體" w:hAnsi="新細明體" w:cs="新細明體"/>
          <w:color w:val="000000"/>
          <w:kern w:val="0"/>
          <w:sz w:val="28"/>
          <w:szCs w:val="28"/>
        </w:rPr>
        <w:t>第二條    特殊教育學生就讀下列學校者，得依本辦法規定予以獎補助：</w:t>
      </w:r>
    </w:p>
    <w:p w:rsidR="00CA1BFF" w:rsidRPr="00CA1BFF" w:rsidRDefault="00CA1BFF" w:rsidP="00CA1BFF">
      <w:pPr>
        <w:widowControl/>
        <w:adjustRightInd w:val="0"/>
        <w:snapToGrid w:val="0"/>
        <w:spacing w:before="100" w:beforeAutospacing="1" w:after="100" w:afterAutospacing="1" w:line="460" w:lineRule="atLeast"/>
        <w:ind w:right="20" w:firstLine="1540"/>
        <w:rPr>
          <w:rFonts w:ascii="新細明體" w:eastAsia="新細明體" w:hAnsi="新細明體" w:cs="新細明體"/>
          <w:color w:val="000000"/>
          <w:kern w:val="0"/>
          <w:szCs w:val="24"/>
        </w:rPr>
      </w:pPr>
      <w:r w:rsidRPr="00CA1BFF">
        <w:rPr>
          <w:rFonts w:ascii="新細明體" w:eastAsia="新細明體" w:hAnsi="新細明體" w:cs="新細明體"/>
          <w:color w:val="000000"/>
          <w:kern w:val="0"/>
          <w:sz w:val="28"/>
          <w:szCs w:val="28"/>
        </w:rPr>
        <w:t>一、國立大專校院。</w:t>
      </w:r>
    </w:p>
    <w:p w:rsidR="00CA1BFF" w:rsidRPr="00CA1BFF" w:rsidRDefault="00CA1BFF" w:rsidP="00CA1BFF">
      <w:pPr>
        <w:widowControl/>
        <w:adjustRightInd w:val="0"/>
        <w:snapToGrid w:val="0"/>
        <w:spacing w:before="100" w:beforeAutospacing="1" w:after="100" w:afterAutospacing="1" w:line="460" w:lineRule="atLeast"/>
        <w:ind w:right="20" w:firstLine="1540"/>
        <w:rPr>
          <w:rFonts w:ascii="新細明體" w:eastAsia="新細明體" w:hAnsi="新細明體" w:cs="新細明體"/>
          <w:color w:val="000000"/>
          <w:kern w:val="0"/>
          <w:szCs w:val="24"/>
        </w:rPr>
      </w:pPr>
      <w:r w:rsidRPr="00CA1BFF">
        <w:rPr>
          <w:rFonts w:ascii="新細明體" w:eastAsia="新細明體" w:hAnsi="新細明體" w:cs="新細明體"/>
          <w:color w:val="000000"/>
          <w:kern w:val="0"/>
          <w:sz w:val="28"/>
          <w:szCs w:val="28"/>
        </w:rPr>
        <w:t>二、國立高級中等學校或特殊教育學校。</w:t>
      </w:r>
    </w:p>
    <w:p w:rsidR="00CA1BFF" w:rsidRPr="00CA1BFF" w:rsidRDefault="00CA1BFF" w:rsidP="00CA1BFF">
      <w:pPr>
        <w:widowControl/>
        <w:adjustRightInd w:val="0"/>
        <w:snapToGrid w:val="0"/>
        <w:spacing w:before="100" w:beforeAutospacing="1" w:after="100" w:afterAutospacing="1" w:line="460" w:lineRule="atLeast"/>
        <w:ind w:right="20" w:firstLine="1540"/>
        <w:rPr>
          <w:rFonts w:ascii="新細明體" w:eastAsia="新細明體" w:hAnsi="新細明體" w:cs="新細明體"/>
          <w:color w:val="000000"/>
          <w:kern w:val="0"/>
          <w:szCs w:val="24"/>
        </w:rPr>
      </w:pPr>
      <w:r w:rsidRPr="00CA1BFF">
        <w:rPr>
          <w:rFonts w:ascii="新細明體" w:eastAsia="新細明體" w:hAnsi="新細明體" w:cs="新細明體"/>
          <w:color w:val="000000"/>
          <w:kern w:val="0"/>
          <w:sz w:val="28"/>
          <w:szCs w:val="28"/>
        </w:rPr>
        <w:t>三、教育部(以下簡稱本部)主管之私立高級中等以上學校。</w:t>
      </w:r>
    </w:p>
    <w:p w:rsidR="00CA1BFF" w:rsidRPr="00CA1BFF" w:rsidRDefault="00CA1BFF" w:rsidP="00CA1BFF">
      <w:pPr>
        <w:widowControl/>
        <w:adjustRightInd w:val="0"/>
        <w:snapToGrid w:val="0"/>
        <w:spacing w:before="100" w:beforeAutospacing="1" w:after="100" w:afterAutospacing="1" w:line="460" w:lineRule="atLeast"/>
        <w:ind w:left="998" w:right="23" w:firstLine="560"/>
        <w:jc w:val="both"/>
        <w:rPr>
          <w:rFonts w:ascii="新細明體" w:eastAsia="新細明體" w:hAnsi="新細明體" w:cs="新細明體"/>
          <w:color w:val="000000"/>
          <w:kern w:val="0"/>
          <w:szCs w:val="24"/>
        </w:rPr>
      </w:pPr>
      <w:r w:rsidRPr="00CA1BFF">
        <w:rPr>
          <w:rFonts w:ascii="新細明體" w:eastAsia="新細明體" w:hAnsi="新細明體" w:cs="新細明體"/>
          <w:color w:val="000000"/>
          <w:kern w:val="0"/>
          <w:sz w:val="28"/>
          <w:szCs w:val="28"/>
        </w:rPr>
        <w:t>身心障礙學生繼續就讀直轄市、縣(市)主管機關主管之高級中等以上學校，其獎助得準用本辦法規定辦理。但直轄市、縣(市)主管機關另定更優惠之規定者，從其規定。</w:t>
      </w:r>
    </w:p>
    <w:p w:rsidR="00CA1BFF" w:rsidRPr="00CA1BFF" w:rsidRDefault="00CA1BFF" w:rsidP="00CA1BFF">
      <w:pPr>
        <w:widowControl/>
        <w:adjustRightInd w:val="0"/>
        <w:snapToGrid w:val="0"/>
        <w:spacing w:before="100" w:beforeAutospacing="1" w:after="100" w:afterAutospacing="1" w:line="460" w:lineRule="atLeast"/>
        <w:ind w:left="979" w:firstLine="560"/>
        <w:rPr>
          <w:rFonts w:ascii="新細明體" w:eastAsia="新細明體" w:hAnsi="新細明體" w:cs="新細明體"/>
          <w:color w:val="000000"/>
          <w:kern w:val="0"/>
          <w:szCs w:val="24"/>
        </w:rPr>
      </w:pPr>
      <w:r w:rsidRPr="00CA1BFF">
        <w:rPr>
          <w:rFonts w:ascii="新細明體" w:eastAsia="新細明體" w:hAnsi="新細明體" w:cs="新細明體"/>
          <w:color w:val="000000"/>
          <w:kern w:val="0"/>
          <w:sz w:val="28"/>
          <w:szCs w:val="28"/>
        </w:rPr>
        <w:t>特殊教育學生就讀國民中、小學品學兼優或有特殊表現者，其獎補助由直轄市、縣(市)主管機關另定自治法規辦理；就讀國立大學附設國民中、小學者，依該規定辦理。</w:t>
      </w:r>
    </w:p>
    <w:p w:rsidR="00CA1BFF" w:rsidRPr="00CA1BFF" w:rsidRDefault="00CA1BFF" w:rsidP="00CA1BFF">
      <w:pPr>
        <w:widowControl/>
        <w:adjustRightInd w:val="0"/>
        <w:snapToGrid w:val="0"/>
        <w:spacing w:before="100" w:beforeAutospacing="1" w:after="100" w:afterAutospacing="1" w:line="460" w:lineRule="atLeast"/>
        <w:ind w:left="1035" w:hanging="980"/>
        <w:rPr>
          <w:rFonts w:ascii="新細明體" w:eastAsia="新細明體" w:hAnsi="新細明體" w:cs="新細明體"/>
          <w:color w:val="000000"/>
          <w:kern w:val="0"/>
          <w:szCs w:val="24"/>
        </w:rPr>
      </w:pPr>
      <w:r w:rsidRPr="00CA1BFF">
        <w:rPr>
          <w:rFonts w:ascii="新細明體" w:eastAsia="新細明體" w:hAnsi="新細明體" w:cs="新細明體"/>
          <w:color w:val="000000"/>
          <w:kern w:val="0"/>
          <w:sz w:val="28"/>
          <w:szCs w:val="28"/>
        </w:rPr>
        <w:t>第三條     前條第一項及第二項之特殊教育學生具有學籍者，得依其學制檢具相關證明文件，依下列規定申請獎補助：</w:t>
      </w:r>
    </w:p>
    <w:p w:rsidR="00CA1BFF" w:rsidRPr="00CA1BFF" w:rsidRDefault="00CA1BFF" w:rsidP="00CA1BFF">
      <w:pPr>
        <w:widowControl/>
        <w:adjustRightInd w:val="0"/>
        <w:snapToGrid w:val="0"/>
        <w:spacing w:before="100" w:beforeAutospacing="1" w:after="100" w:afterAutospacing="1" w:line="460" w:lineRule="atLeast"/>
        <w:ind w:right="20" w:firstLine="1680"/>
        <w:rPr>
          <w:rFonts w:ascii="新細明體" w:eastAsia="新細明體" w:hAnsi="新細明體" w:cs="新細明體"/>
          <w:color w:val="000000"/>
          <w:kern w:val="0"/>
          <w:szCs w:val="24"/>
        </w:rPr>
      </w:pPr>
      <w:r w:rsidRPr="00CA1BFF">
        <w:rPr>
          <w:rFonts w:ascii="新細明體" w:eastAsia="新細明體" w:hAnsi="新細明體" w:cs="新細明體"/>
          <w:color w:val="000000"/>
          <w:kern w:val="0"/>
          <w:sz w:val="28"/>
          <w:szCs w:val="28"/>
        </w:rPr>
        <w:t>一、身心障礙學生：</w:t>
      </w:r>
    </w:p>
    <w:p w:rsidR="00CA1BFF" w:rsidRPr="00CA1BFF" w:rsidRDefault="00CA1BFF" w:rsidP="00CA1BFF">
      <w:pPr>
        <w:widowControl/>
        <w:adjustRightInd w:val="0"/>
        <w:snapToGrid w:val="0"/>
        <w:spacing w:before="100" w:beforeAutospacing="1" w:after="100" w:afterAutospacing="1" w:line="460" w:lineRule="atLeast"/>
        <w:ind w:left="2694" w:right="20" w:hanging="560"/>
        <w:jc w:val="both"/>
        <w:rPr>
          <w:rFonts w:ascii="新細明體" w:eastAsia="新細明體" w:hAnsi="新細明體" w:cs="新細明體"/>
          <w:color w:val="000000"/>
          <w:kern w:val="0"/>
          <w:szCs w:val="24"/>
        </w:rPr>
      </w:pPr>
      <w:r w:rsidRPr="00CA1BFF">
        <w:rPr>
          <w:rFonts w:ascii="新細明體" w:eastAsia="新細明體" w:hAnsi="新細明體" w:cs="新細明體"/>
          <w:color w:val="000000"/>
          <w:kern w:val="0"/>
          <w:sz w:val="28"/>
          <w:szCs w:val="28"/>
        </w:rPr>
        <w:t>(一)上學年學業平均成績在八十分以上，且品行優良無不良紀錄者，發給獎學金。</w:t>
      </w:r>
    </w:p>
    <w:p w:rsidR="00CA1BFF" w:rsidRPr="00CA1BFF" w:rsidRDefault="00CA1BFF" w:rsidP="00CA1BFF">
      <w:pPr>
        <w:widowControl/>
        <w:adjustRightInd w:val="0"/>
        <w:snapToGrid w:val="0"/>
        <w:spacing w:before="100" w:beforeAutospacing="1" w:after="100" w:afterAutospacing="1" w:line="460" w:lineRule="atLeast"/>
        <w:ind w:left="2691" w:right="20" w:hanging="560"/>
        <w:jc w:val="both"/>
        <w:rPr>
          <w:rFonts w:ascii="新細明體" w:eastAsia="新細明體" w:hAnsi="新細明體" w:cs="新細明體"/>
          <w:color w:val="000000"/>
          <w:kern w:val="0"/>
          <w:szCs w:val="24"/>
        </w:rPr>
      </w:pPr>
      <w:r w:rsidRPr="00CA1BFF">
        <w:rPr>
          <w:rFonts w:ascii="新細明體" w:eastAsia="新細明體" w:hAnsi="新細明體" w:cs="新細明體"/>
          <w:color w:val="000000"/>
          <w:kern w:val="0"/>
          <w:sz w:val="28"/>
          <w:szCs w:val="28"/>
        </w:rPr>
        <w:t>(二)上學年學業平均成績在七十分以上，未滿八十分，且品行優良無不良紀錄者，發給補助金。</w:t>
      </w:r>
    </w:p>
    <w:p w:rsidR="00CA1BFF" w:rsidRPr="00CA1BFF" w:rsidRDefault="00CA1BFF" w:rsidP="00CA1BFF">
      <w:pPr>
        <w:widowControl/>
        <w:adjustRightInd w:val="0"/>
        <w:snapToGrid w:val="0"/>
        <w:spacing w:before="100" w:beforeAutospacing="1" w:after="100" w:afterAutospacing="1" w:line="460" w:lineRule="atLeast"/>
        <w:ind w:left="2791" w:right="20" w:hanging="840"/>
        <w:jc w:val="both"/>
        <w:rPr>
          <w:rFonts w:ascii="新細明體" w:eastAsia="新細明體" w:hAnsi="新細明體" w:cs="新細明體"/>
          <w:color w:val="000000"/>
          <w:kern w:val="0"/>
          <w:szCs w:val="24"/>
        </w:rPr>
      </w:pPr>
      <w:r w:rsidRPr="00CA1BFF">
        <w:rPr>
          <w:rFonts w:ascii="新細明體" w:eastAsia="新細明體" w:hAnsi="新細明體" w:cs="新細明體"/>
          <w:color w:val="000000"/>
          <w:kern w:val="0"/>
          <w:sz w:val="28"/>
          <w:szCs w:val="28"/>
        </w:rPr>
        <w:t>（三）參加政府核定有案之國際性競賽或展覽，獲得前五名之成績或相當前五名之獎項，並領有證明者，發給獎學金。</w:t>
      </w:r>
    </w:p>
    <w:p w:rsidR="00CA1BFF" w:rsidRPr="00CA1BFF" w:rsidRDefault="00CA1BFF" w:rsidP="00CA1BFF">
      <w:pPr>
        <w:widowControl/>
        <w:adjustRightInd w:val="0"/>
        <w:snapToGrid w:val="0"/>
        <w:spacing w:before="100" w:beforeAutospacing="1" w:after="100" w:afterAutospacing="1" w:line="460" w:lineRule="atLeast"/>
        <w:ind w:left="2798" w:right="20" w:hanging="840"/>
        <w:jc w:val="both"/>
        <w:rPr>
          <w:rFonts w:ascii="新細明體" w:eastAsia="新細明體" w:hAnsi="新細明體" w:cs="新細明體"/>
          <w:color w:val="000000"/>
          <w:kern w:val="0"/>
          <w:szCs w:val="24"/>
        </w:rPr>
      </w:pPr>
      <w:r w:rsidRPr="00CA1BFF">
        <w:rPr>
          <w:rFonts w:ascii="新細明體" w:eastAsia="新細明體" w:hAnsi="新細明體" w:cs="新細明體"/>
          <w:color w:val="000000"/>
          <w:kern w:val="0"/>
          <w:sz w:val="28"/>
          <w:szCs w:val="28"/>
        </w:rPr>
        <w:t>（四）參加政府核定有案之國內競賽或展覽，獲得前三名之成績或相當前三名之獎項，並領有證明者，發給補助金。</w:t>
      </w:r>
    </w:p>
    <w:p w:rsidR="00CA1BFF" w:rsidRPr="00CA1BFF" w:rsidRDefault="00CA1BFF" w:rsidP="00CA1BFF">
      <w:pPr>
        <w:widowControl/>
        <w:adjustRightInd w:val="0"/>
        <w:snapToGrid w:val="0"/>
        <w:spacing w:before="100" w:beforeAutospacing="1" w:after="100" w:afterAutospacing="1" w:line="460" w:lineRule="atLeast"/>
        <w:ind w:left="2312" w:right="20" w:hanging="560"/>
        <w:jc w:val="both"/>
        <w:rPr>
          <w:rFonts w:ascii="新細明體" w:eastAsia="新細明體" w:hAnsi="新細明體" w:cs="新細明體"/>
          <w:color w:val="000000"/>
          <w:kern w:val="0"/>
          <w:szCs w:val="24"/>
        </w:rPr>
      </w:pPr>
      <w:r w:rsidRPr="00CA1BFF">
        <w:rPr>
          <w:rFonts w:ascii="新細明體" w:eastAsia="新細明體" w:hAnsi="新細明體" w:cs="新細明體"/>
          <w:color w:val="000000"/>
          <w:kern w:val="0"/>
          <w:sz w:val="28"/>
          <w:szCs w:val="28"/>
        </w:rPr>
        <w:lastRenderedPageBreak/>
        <w:t>二、資賦優異學生：參加政府核定有案之國際性競賽或展覽，獲得前五名之成績或相當前五名之獎項，並領有證明者，發給獎學金。</w:t>
      </w:r>
    </w:p>
    <w:p w:rsidR="00CA1BFF" w:rsidRPr="00CA1BFF" w:rsidRDefault="00CA1BFF" w:rsidP="00CA1BFF">
      <w:pPr>
        <w:widowControl/>
        <w:adjustRightInd w:val="0"/>
        <w:snapToGrid w:val="0"/>
        <w:spacing w:before="100" w:beforeAutospacing="1" w:after="100" w:afterAutospacing="1" w:line="460" w:lineRule="atLeast"/>
        <w:ind w:right="20" w:firstLine="179"/>
        <w:rPr>
          <w:rFonts w:ascii="新細明體" w:eastAsia="新細明體" w:hAnsi="新細明體" w:cs="新細明體"/>
          <w:color w:val="000000"/>
          <w:kern w:val="0"/>
          <w:szCs w:val="24"/>
        </w:rPr>
      </w:pPr>
      <w:r w:rsidRPr="00CA1BFF">
        <w:rPr>
          <w:rFonts w:ascii="新細明體" w:eastAsia="新細明體" w:hAnsi="新細明體" w:cs="新細明體"/>
          <w:color w:val="000000"/>
          <w:kern w:val="0"/>
          <w:sz w:val="28"/>
          <w:szCs w:val="28"/>
        </w:rPr>
        <w:t>           前項申請，每學年以一次為限。</w:t>
      </w:r>
    </w:p>
    <w:p w:rsidR="00CA1BFF" w:rsidRPr="00CA1BFF" w:rsidRDefault="00CA1BFF" w:rsidP="00CA1BFF">
      <w:pPr>
        <w:widowControl/>
        <w:adjustRightInd w:val="0"/>
        <w:snapToGrid w:val="0"/>
        <w:spacing w:before="100" w:beforeAutospacing="1" w:after="100" w:afterAutospacing="1" w:line="460" w:lineRule="atLeast"/>
        <w:ind w:left="980" w:hanging="980"/>
        <w:jc w:val="both"/>
        <w:rPr>
          <w:rFonts w:ascii="新細明體" w:eastAsia="新細明體" w:hAnsi="新細明體" w:cs="新細明體"/>
          <w:color w:val="000000"/>
          <w:kern w:val="0"/>
          <w:szCs w:val="24"/>
        </w:rPr>
      </w:pPr>
      <w:r w:rsidRPr="00CA1BFF">
        <w:rPr>
          <w:rFonts w:ascii="新細明體" w:eastAsia="新細明體" w:hAnsi="新細明體" w:cs="新細明體"/>
          <w:color w:val="000000"/>
          <w:kern w:val="0"/>
          <w:sz w:val="28"/>
          <w:szCs w:val="28"/>
        </w:rPr>
        <w:t>第四條     </w:t>
      </w:r>
      <w:r>
        <w:rPr>
          <w:rFonts w:ascii="新細明體" w:eastAsia="新細明體" w:hAnsi="新細明體" w:cs="新細明體" w:hint="eastAsia"/>
          <w:color w:val="000000"/>
          <w:kern w:val="0"/>
          <w:sz w:val="28"/>
          <w:szCs w:val="28"/>
        </w:rPr>
        <w:t xml:space="preserve"> </w:t>
      </w:r>
      <w:r w:rsidRPr="00CA1BFF">
        <w:rPr>
          <w:rFonts w:ascii="新細明體" w:eastAsia="新細明體" w:hAnsi="新細明體" w:cs="新細明體"/>
          <w:color w:val="000000"/>
          <w:kern w:val="0"/>
          <w:sz w:val="28"/>
          <w:szCs w:val="28"/>
        </w:rPr>
        <w:t>符合前條第一項第一款第一目及第二目規定之高級中等學校或特殊教育學校身心障礙學生，每校身心障礙學生總人數在三十人以下者，獎補助一人；三十一人至五十人者，獎補助二人；五十一人以上者，獎補助三人，國立特殊教育學校分別以各學部，依上開標準計算獎補助金名額。</w:t>
      </w:r>
    </w:p>
    <w:p w:rsidR="00CA1BFF" w:rsidRPr="00CA1BFF" w:rsidRDefault="00CA1BFF" w:rsidP="00CA1BFF">
      <w:pPr>
        <w:widowControl/>
        <w:adjustRightInd w:val="0"/>
        <w:snapToGrid w:val="0"/>
        <w:spacing w:before="100" w:beforeAutospacing="1" w:after="100" w:afterAutospacing="1" w:line="460" w:lineRule="atLeast"/>
        <w:ind w:left="1037" w:right="23" w:firstLine="560"/>
        <w:jc w:val="both"/>
        <w:rPr>
          <w:rFonts w:ascii="新細明體" w:eastAsia="新細明體" w:hAnsi="新細明體" w:cs="新細明體"/>
          <w:color w:val="000000"/>
          <w:kern w:val="0"/>
          <w:szCs w:val="24"/>
        </w:rPr>
      </w:pPr>
      <w:r w:rsidRPr="00CA1BFF">
        <w:rPr>
          <w:rFonts w:ascii="新細明體" w:eastAsia="新細明體" w:hAnsi="新細明體" w:cs="新細明體"/>
          <w:color w:val="000000"/>
          <w:kern w:val="0"/>
          <w:sz w:val="28"/>
          <w:szCs w:val="28"/>
        </w:rPr>
        <w:t>學校應依身心障礙學生申請成績排序，並依前項獎補助名額，核發最優者獎補助金；同一學校，須無人得領獎學金，始發給補助金。</w:t>
      </w:r>
    </w:p>
    <w:p w:rsidR="00CA1BFF" w:rsidRPr="00CA1BFF" w:rsidRDefault="00CA1BFF" w:rsidP="00CA1BFF">
      <w:pPr>
        <w:widowControl/>
        <w:adjustRightInd w:val="0"/>
        <w:snapToGrid w:val="0"/>
        <w:spacing w:before="100" w:beforeAutospacing="1" w:after="100" w:afterAutospacing="1" w:line="460" w:lineRule="atLeast"/>
        <w:ind w:left="1030" w:firstLine="560"/>
        <w:rPr>
          <w:rFonts w:ascii="新細明體" w:eastAsia="新細明體" w:hAnsi="新細明體" w:cs="新細明體"/>
          <w:color w:val="000000"/>
          <w:kern w:val="0"/>
          <w:szCs w:val="24"/>
        </w:rPr>
      </w:pPr>
      <w:r w:rsidRPr="00CA1BFF">
        <w:rPr>
          <w:rFonts w:ascii="新細明體" w:eastAsia="新細明體" w:hAnsi="新細明體" w:cs="新細明體"/>
          <w:color w:val="000000"/>
          <w:kern w:val="0"/>
          <w:sz w:val="28"/>
          <w:szCs w:val="28"/>
        </w:rPr>
        <w:t>特殊教育學生，同時具備前條第一項第一款各目及第二款資格者，應擇一申領；其已依其他規定領取政府提供與本辦法規定同性質申領資格之補助費、獎學金或獎金者，不得再依本辦法申領獎補助金。</w:t>
      </w:r>
    </w:p>
    <w:p w:rsidR="00CA1BFF" w:rsidRPr="00CA1BFF" w:rsidRDefault="00CA1BFF" w:rsidP="00CA1BFF">
      <w:pPr>
        <w:widowControl/>
        <w:adjustRightInd w:val="0"/>
        <w:snapToGrid w:val="0"/>
        <w:spacing w:before="100" w:beforeAutospacing="1" w:after="100" w:afterAutospacing="1" w:line="460" w:lineRule="atLeast"/>
        <w:ind w:left="1035" w:hanging="980"/>
        <w:rPr>
          <w:rFonts w:ascii="新細明體" w:eastAsia="新細明體" w:hAnsi="新細明體" w:cs="新細明體"/>
          <w:color w:val="000000"/>
          <w:kern w:val="0"/>
          <w:szCs w:val="24"/>
        </w:rPr>
      </w:pPr>
      <w:r w:rsidRPr="00CA1BFF">
        <w:rPr>
          <w:rFonts w:ascii="新細明體" w:eastAsia="新細明體" w:hAnsi="新細明體" w:cs="新細明體"/>
          <w:color w:val="000000"/>
          <w:kern w:val="0"/>
          <w:sz w:val="28"/>
          <w:szCs w:val="28"/>
        </w:rPr>
        <w:t>第五條     特殊教育學生就讀空中大學或空中進修學校，依本辦法規定申請獎補助者，其每學年修習學分數應至少十八學分；空中大學就學期間，以申領六次為限，空中進修學校就學期間，以申領三次為限。</w:t>
      </w:r>
    </w:p>
    <w:p w:rsidR="00CA1BFF" w:rsidRPr="00CA1BFF" w:rsidRDefault="00CA1BFF" w:rsidP="00CA1BFF">
      <w:pPr>
        <w:widowControl/>
        <w:adjustRightInd w:val="0"/>
        <w:snapToGrid w:val="0"/>
        <w:spacing w:before="100" w:beforeAutospacing="1" w:after="100" w:afterAutospacing="1" w:line="460" w:lineRule="atLeast"/>
        <w:ind w:left="1037" w:right="20" w:firstLine="560"/>
        <w:jc w:val="both"/>
        <w:rPr>
          <w:rFonts w:ascii="新細明體" w:eastAsia="新細明體" w:hAnsi="新細明體" w:cs="新細明體"/>
          <w:color w:val="000000"/>
          <w:kern w:val="0"/>
          <w:szCs w:val="24"/>
        </w:rPr>
      </w:pPr>
      <w:r w:rsidRPr="00CA1BFF">
        <w:rPr>
          <w:rFonts w:ascii="新細明體" w:eastAsia="新細明體" w:hAnsi="新細明體" w:cs="新細明體"/>
          <w:color w:val="000000"/>
          <w:kern w:val="0"/>
          <w:sz w:val="28"/>
          <w:szCs w:val="28"/>
        </w:rPr>
        <w:t>特殊教育學生就讀碩士班或博士班，依本辦法規定申請獎補助者，其每學年修習學分數應至少十二學分，就學期間申領次數，不得超過其修業年限。</w:t>
      </w:r>
    </w:p>
    <w:p w:rsidR="00CA1BFF" w:rsidRPr="00CA1BFF" w:rsidRDefault="00CA1BFF" w:rsidP="00CA1BFF">
      <w:pPr>
        <w:widowControl/>
        <w:adjustRightInd w:val="0"/>
        <w:snapToGrid w:val="0"/>
        <w:spacing w:before="100" w:beforeAutospacing="1" w:after="100" w:afterAutospacing="1" w:line="460" w:lineRule="atLeast"/>
        <w:ind w:left="895" w:hanging="840"/>
        <w:rPr>
          <w:rFonts w:ascii="新細明體" w:eastAsia="新細明體" w:hAnsi="新細明體" w:cs="新細明體"/>
          <w:color w:val="000000"/>
          <w:kern w:val="0"/>
          <w:szCs w:val="24"/>
        </w:rPr>
      </w:pPr>
      <w:r w:rsidRPr="00CA1BFF">
        <w:rPr>
          <w:rFonts w:ascii="新細明體" w:eastAsia="新細明體" w:hAnsi="新細明體" w:cs="新細明體"/>
          <w:color w:val="000000"/>
          <w:kern w:val="0"/>
          <w:sz w:val="28"/>
          <w:szCs w:val="28"/>
        </w:rPr>
        <w:t>第六條     第三條所定獎學金、補助金之類別及金額如下表：</w:t>
      </w:r>
    </w:p>
    <w:tbl>
      <w:tblPr>
        <w:tblW w:w="5000" w:type="pct"/>
        <w:tblCellMar>
          <w:left w:w="0" w:type="dxa"/>
          <w:right w:w="0" w:type="dxa"/>
        </w:tblCellMar>
        <w:tblLook w:val="04A0"/>
      </w:tblPr>
      <w:tblGrid>
        <w:gridCol w:w="421"/>
        <w:gridCol w:w="1368"/>
        <w:gridCol w:w="2104"/>
        <w:gridCol w:w="1578"/>
        <w:gridCol w:w="1789"/>
        <w:gridCol w:w="1684"/>
        <w:gridCol w:w="1578"/>
      </w:tblGrid>
      <w:tr w:rsidR="00CA1BFF" w:rsidRPr="00CA1BFF" w:rsidTr="00B81696">
        <w:trPr>
          <w:trHeight w:val="494"/>
        </w:trPr>
        <w:tc>
          <w:tcPr>
            <w:tcW w:w="5000" w:type="pct"/>
            <w:gridSpan w:val="7"/>
            <w:tcBorders>
              <w:top w:val="single" w:sz="8" w:space="0" w:color="auto"/>
              <w:left w:val="single" w:sz="8" w:space="0" w:color="auto"/>
              <w:bottom w:val="single" w:sz="8" w:space="0" w:color="auto"/>
              <w:right w:val="single" w:sz="8" w:space="0" w:color="000000"/>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     獎學金、補助金類別及金額表</w:t>
            </w:r>
          </w:p>
        </w:tc>
      </w:tr>
      <w:tr w:rsidR="00CA1BFF" w:rsidRPr="00CA1BFF" w:rsidTr="00B81696">
        <w:trPr>
          <w:trHeight w:val="380"/>
        </w:trPr>
        <w:tc>
          <w:tcPr>
            <w:tcW w:w="850" w:type="pct"/>
            <w:gridSpan w:val="2"/>
            <w:vMerge w:val="restart"/>
            <w:tcBorders>
              <w:top w:val="nil"/>
              <w:left w:val="single" w:sz="8" w:space="0" w:color="auto"/>
              <w:bottom w:val="single" w:sz="8" w:space="0" w:color="000000"/>
              <w:right w:val="single" w:sz="8" w:space="0" w:color="000000"/>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ind w:left="151" w:hanging="149"/>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類   別</w:t>
            </w:r>
          </w:p>
        </w:tc>
        <w:tc>
          <w:tcPr>
            <w:tcW w:w="1000" w:type="pct"/>
            <w:vMerge w:val="restart"/>
            <w:tcBorders>
              <w:top w:val="nil"/>
              <w:left w:val="nil"/>
              <w:bottom w:val="single" w:sz="8" w:space="0" w:color="000000"/>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rPr>
                <w:rFonts w:ascii="新細明體" w:eastAsia="新細明體" w:hAnsi="新細明體" w:cs="新細明體"/>
                <w:kern w:val="0"/>
                <w:szCs w:val="24"/>
              </w:rPr>
            </w:pPr>
            <w:r w:rsidRPr="00CA1BFF">
              <w:rPr>
                <w:rFonts w:ascii="新細明體" w:eastAsia="新細明體" w:hAnsi="新細明體" w:cs="新細明體"/>
                <w:kern w:val="0"/>
                <w:szCs w:val="24"/>
              </w:rPr>
              <w:t>障礙等級（依身心障礙手冊規定之等級）</w:t>
            </w:r>
          </w:p>
        </w:tc>
        <w:tc>
          <w:tcPr>
            <w:tcW w:w="1600" w:type="pct"/>
            <w:gridSpan w:val="2"/>
            <w:tcBorders>
              <w:top w:val="nil"/>
              <w:left w:val="nil"/>
              <w:bottom w:val="single" w:sz="8" w:space="0" w:color="000000"/>
              <w:right w:val="single" w:sz="8" w:space="0" w:color="000000"/>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獎學金（單位：新臺幣元）</w:t>
            </w:r>
          </w:p>
        </w:tc>
        <w:tc>
          <w:tcPr>
            <w:tcW w:w="1500" w:type="pct"/>
            <w:gridSpan w:val="2"/>
            <w:tcBorders>
              <w:top w:val="nil"/>
              <w:left w:val="nil"/>
              <w:bottom w:val="single" w:sz="8" w:space="0" w:color="000000"/>
              <w:right w:val="single" w:sz="8" w:space="0" w:color="000000"/>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補助金（單位：新臺幣元）</w:t>
            </w:r>
          </w:p>
        </w:tc>
      </w:tr>
      <w:tr w:rsidR="00CA1BFF" w:rsidRPr="00CA1BFF" w:rsidTr="00B81696">
        <w:trPr>
          <w:trHeight w:val="778"/>
        </w:trPr>
        <w:tc>
          <w:tcPr>
            <w:tcW w:w="0" w:type="auto"/>
            <w:gridSpan w:val="2"/>
            <w:vMerge/>
            <w:tcBorders>
              <w:top w:val="nil"/>
              <w:left w:val="single" w:sz="8" w:space="0" w:color="auto"/>
              <w:bottom w:val="single" w:sz="8" w:space="0" w:color="000000"/>
              <w:right w:val="single" w:sz="8" w:space="0" w:color="000000"/>
            </w:tcBorders>
            <w:vAlign w:val="center"/>
            <w:hideMark/>
          </w:tcPr>
          <w:p w:rsidR="00CA1BFF" w:rsidRPr="00CA1BFF" w:rsidRDefault="00CA1BFF" w:rsidP="00CA1BFF">
            <w:pPr>
              <w:widowControl/>
              <w:adjustRightInd w:val="0"/>
              <w:snapToGrid w:val="0"/>
              <w:spacing w:before="100" w:beforeAutospacing="1" w:after="100" w:afterAutospacing="1"/>
              <w:rPr>
                <w:rFonts w:ascii="新細明體" w:eastAsia="新細明體" w:hAnsi="新細明體" w:cs="新細明體"/>
                <w:kern w:val="0"/>
                <w:szCs w:val="24"/>
              </w:rPr>
            </w:pPr>
          </w:p>
        </w:tc>
        <w:tc>
          <w:tcPr>
            <w:tcW w:w="0" w:type="auto"/>
            <w:vMerge/>
            <w:tcBorders>
              <w:top w:val="nil"/>
              <w:left w:val="nil"/>
              <w:bottom w:val="single" w:sz="8" w:space="0" w:color="000000"/>
              <w:right w:val="single" w:sz="8" w:space="0" w:color="auto"/>
            </w:tcBorders>
            <w:vAlign w:val="center"/>
            <w:hideMark/>
          </w:tcPr>
          <w:p w:rsidR="00CA1BFF" w:rsidRPr="00CA1BFF" w:rsidRDefault="00CA1BFF" w:rsidP="00CA1BFF">
            <w:pPr>
              <w:widowControl/>
              <w:adjustRightInd w:val="0"/>
              <w:snapToGrid w:val="0"/>
              <w:spacing w:before="100" w:beforeAutospacing="1" w:after="100" w:afterAutospacing="1"/>
              <w:rPr>
                <w:rFonts w:ascii="新細明體" w:eastAsia="新細明體" w:hAnsi="新細明體" w:cs="新細明體"/>
                <w:kern w:val="0"/>
                <w:szCs w:val="24"/>
              </w:rPr>
            </w:pPr>
          </w:p>
        </w:tc>
        <w:tc>
          <w:tcPr>
            <w:tcW w:w="7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both"/>
              <w:rPr>
                <w:rFonts w:ascii="新細明體" w:eastAsia="新細明體" w:hAnsi="新細明體" w:cs="新細明體"/>
                <w:kern w:val="0"/>
                <w:szCs w:val="24"/>
              </w:rPr>
            </w:pPr>
            <w:r w:rsidRPr="00CA1BFF">
              <w:rPr>
                <w:rFonts w:ascii="新細明體" w:eastAsia="新細明體" w:hAnsi="新細明體" w:cs="新細明體"/>
                <w:kern w:val="0"/>
                <w:szCs w:val="24"/>
              </w:rPr>
              <w:t>高級中等學校（包括特殊教育學校）</w:t>
            </w:r>
          </w:p>
        </w:tc>
        <w:tc>
          <w:tcPr>
            <w:tcW w:w="8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大專校院</w:t>
            </w:r>
          </w:p>
        </w:tc>
        <w:tc>
          <w:tcPr>
            <w:tcW w:w="8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both"/>
              <w:rPr>
                <w:rFonts w:ascii="新細明體" w:eastAsia="新細明體" w:hAnsi="新細明體" w:cs="新細明體"/>
                <w:kern w:val="0"/>
                <w:szCs w:val="24"/>
              </w:rPr>
            </w:pPr>
            <w:r w:rsidRPr="00CA1BFF">
              <w:rPr>
                <w:rFonts w:ascii="新細明體" w:eastAsia="新細明體" w:hAnsi="新細明體" w:cs="新細明體"/>
                <w:kern w:val="0"/>
                <w:szCs w:val="24"/>
              </w:rPr>
              <w:t>高級中等學校（包括特殊教育學校）</w:t>
            </w:r>
          </w:p>
        </w:tc>
        <w:tc>
          <w:tcPr>
            <w:tcW w:w="7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大專校院</w:t>
            </w:r>
          </w:p>
        </w:tc>
      </w:tr>
      <w:tr w:rsidR="00CA1BFF" w:rsidRPr="00CA1BFF" w:rsidTr="00B81696">
        <w:trPr>
          <w:trHeight w:val="615"/>
        </w:trPr>
        <w:tc>
          <w:tcPr>
            <w:tcW w:w="200" w:type="pct"/>
            <w:vMerge w:val="restart"/>
            <w:tcBorders>
              <w:top w:val="nil"/>
              <w:left w:val="single" w:sz="8" w:space="0" w:color="auto"/>
              <w:bottom w:val="nil"/>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身</w:t>
            </w:r>
          </w:p>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心</w:t>
            </w:r>
          </w:p>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障</w:t>
            </w:r>
          </w:p>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礙</w:t>
            </w:r>
          </w:p>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lastRenderedPageBreak/>
              <w:t> </w:t>
            </w:r>
          </w:p>
        </w:tc>
        <w:tc>
          <w:tcPr>
            <w:tcW w:w="60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both"/>
              <w:rPr>
                <w:rFonts w:ascii="新細明體" w:eastAsia="新細明體" w:hAnsi="新細明體" w:cs="新細明體"/>
                <w:kern w:val="0"/>
                <w:szCs w:val="24"/>
              </w:rPr>
            </w:pPr>
            <w:r w:rsidRPr="00CA1BFF">
              <w:rPr>
                <w:rFonts w:ascii="新細明體" w:eastAsia="新細明體" w:hAnsi="新細明體" w:cs="新細明體"/>
                <w:kern w:val="0"/>
                <w:szCs w:val="24"/>
              </w:rPr>
              <w:lastRenderedPageBreak/>
              <w:t>視覺障礙、聽覺障礙、語言障礙</w:t>
            </w:r>
          </w:p>
        </w:tc>
        <w:tc>
          <w:tcPr>
            <w:tcW w:w="1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輕度</w:t>
            </w:r>
          </w:p>
        </w:tc>
        <w:tc>
          <w:tcPr>
            <w:tcW w:w="7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五千</w:t>
            </w:r>
          </w:p>
        </w:tc>
        <w:tc>
          <w:tcPr>
            <w:tcW w:w="8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三萬</w:t>
            </w:r>
          </w:p>
        </w:tc>
        <w:tc>
          <w:tcPr>
            <w:tcW w:w="8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三千</w:t>
            </w:r>
          </w:p>
        </w:tc>
        <w:tc>
          <w:tcPr>
            <w:tcW w:w="7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一萬</w:t>
            </w:r>
          </w:p>
        </w:tc>
      </w:tr>
      <w:tr w:rsidR="00CA1BFF" w:rsidRPr="00CA1BFF" w:rsidTr="00B81696">
        <w:trPr>
          <w:trHeight w:val="615"/>
        </w:trPr>
        <w:tc>
          <w:tcPr>
            <w:tcW w:w="0" w:type="auto"/>
            <w:vMerge/>
            <w:tcBorders>
              <w:top w:val="nil"/>
              <w:left w:val="single" w:sz="8" w:space="0" w:color="auto"/>
              <w:bottom w:val="nil"/>
              <w:right w:val="single" w:sz="8" w:space="0" w:color="auto"/>
            </w:tcBorders>
            <w:vAlign w:val="center"/>
            <w:hideMark/>
          </w:tcPr>
          <w:p w:rsidR="00CA1BFF" w:rsidRPr="00CA1BFF" w:rsidRDefault="00CA1BFF" w:rsidP="00CA1BFF">
            <w:pPr>
              <w:widowControl/>
              <w:adjustRightInd w:val="0"/>
              <w:snapToGrid w:val="0"/>
              <w:spacing w:before="100" w:beforeAutospacing="1" w:after="100" w:afterAutospacing="1"/>
              <w:rPr>
                <w:rFonts w:ascii="新細明體" w:eastAsia="新細明體" w:hAnsi="新細明體" w:cs="新細明體"/>
                <w:kern w:val="0"/>
                <w:szCs w:val="24"/>
              </w:rPr>
            </w:pPr>
          </w:p>
        </w:tc>
        <w:tc>
          <w:tcPr>
            <w:tcW w:w="0" w:type="auto"/>
            <w:vMerge/>
            <w:tcBorders>
              <w:top w:val="nil"/>
              <w:left w:val="nil"/>
              <w:bottom w:val="single" w:sz="8" w:space="0" w:color="auto"/>
              <w:right w:val="single" w:sz="8" w:space="0" w:color="auto"/>
            </w:tcBorders>
            <w:vAlign w:val="center"/>
            <w:hideMark/>
          </w:tcPr>
          <w:p w:rsidR="00CA1BFF" w:rsidRPr="00CA1BFF" w:rsidRDefault="00CA1BFF" w:rsidP="00CA1BFF">
            <w:pPr>
              <w:widowControl/>
              <w:adjustRightInd w:val="0"/>
              <w:snapToGrid w:val="0"/>
              <w:spacing w:before="100" w:beforeAutospacing="1" w:after="100" w:afterAutospacing="1"/>
              <w:rPr>
                <w:rFonts w:ascii="新細明體" w:eastAsia="新細明體" w:hAnsi="新細明體" w:cs="新細明體"/>
                <w:kern w:val="0"/>
                <w:szCs w:val="24"/>
              </w:rPr>
            </w:pPr>
          </w:p>
        </w:tc>
        <w:tc>
          <w:tcPr>
            <w:tcW w:w="1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中度以上</w:t>
            </w:r>
          </w:p>
        </w:tc>
        <w:tc>
          <w:tcPr>
            <w:tcW w:w="7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六千</w:t>
            </w:r>
          </w:p>
        </w:tc>
        <w:tc>
          <w:tcPr>
            <w:tcW w:w="8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四萬</w:t>
            </w:r>
          </w:p>
        </w:tc>
        <w:tc>
          <w:tcPr>
            <w:tcW w:w="8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四千</w:t>
            </w:r>
          </w:p>
        </w:tc>
        <w:tc>
          <w:tcPr>
            <w:tcW w:w="7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二萬</w:t>
            </w:r>
          </w:p>
        </w:tc>
      </w:tr>
      <w:tr w:rsidR="00CA1BFF" w:rsidRPr="00CA1BFF" w:rsidTr="00B81696">
        <w:trPr>
          <w:trHeight w:val="615"/>
        </w:trPr>
        <w:tc>
          <w:tcPr>
            <w:tcW w:w="0" w:type="auto"/>
            <w:vMerge/>
            <w:tcBorders>
              <w:top w:val="nil"/>
              <w:left w:val="single" w:sz="8" w:space="0" w:color="auto"/>
              <w:bottom w:val="nil"/>
              <w:right w:val="single" w:sz="8" w:space="0" w:color="auto"/>
            </w:tcBorders>
            <w:vAlign w:val="center"/>
            <w:hideMark/>
          </w:tcPr>
          <w:p w:rsidR="00CA1BFF" w:rsidRPr="00CA1BFF" w:rsidRDefault="00CA1BFF" w:rsidP="00CA1BFF">
            <w:pPr>
              <w:widowControl/>
              <w:adjustRightInd w:val="0"/>
              <w:snapToGrid w:val="0"/>
              <w:spacing w:before="100" w:beforeAutospacing="1" w:after="100" w:afterAutospacing="1"/>
              <w:rPr>
                <w:rFonts w:ascii="新細明體" w:eastAsia="新細明體" w:hAnsi="新細明體" w:cs="新細明體"/>
                <w:kern w:val="0"/>
                <w:szCs w:val="24"/>
              </w:rPr>
            </w:pPr>
          </w:p>
        </w:tc>
        <w:tc>
          <w:tcPr>
            <w:tcW w:w="600" w:type="pct"/>
            <w:vMerge w:val="restart"/>
            <w:tcBorders>
              <w:top w:val="nil"/>
              <w:left w:val="nil"/>
              <w:bottom w:val="nil"/>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rPr>
                <w:rFonts w:ascii="新細明體" w:eastAsia="新細明體" w:hAnsi="新細明體" w:cs="新細明體"/>
                <w:kern w:val="0"/>
                <w:szCs w:val="24"/>
              </w:rPr>
            </w:pPr>
            <w:r w:rsidRPr="00CA1BFF">
              <w:rPr>
                <w:rFonts w:ascii="新細明體" w:eastAsia="新細明體" w:hAnsi="新細明體" w:cs="新細明體"/>
                <w:kern w:val="0"/>
                <w:szCs w:val="24"/>
              </w:rPr>
              <w:t>肢體障礙</w:t>
            </w:r>
          </w:p>
        </w:tc>
        <w:tc>
          <w:tcPr>
            <w:tcW w:w="1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輕度</w:t>
            </w:r>
          </w:p>
        </w:tc>
        <w:tc>
          <w:tcPr>
            <w:tcW w:w="7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四千</w:t>
            </w:r>
          </w:p>
        </w:tc>
        <w:tc>
          <w:tcPr>
            <w:tcW w:w="8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一萬二千</w:t>
            </w:r>
          </w:p>
        </w:tc>
        <w:tc>
          <w:tcPr>
            <w:tcW w:w="8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二千</w:t>
            </w:r>
          </w:p>
        </w:tc>
        <w:tc>
          <w:tcPr>
            <w:tcW w:w="7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一萬</w:t>
            </w:r>
          </w:p>
        </w:tc>
      </w:tr>
      <w:tr w:rsidR="00CA1BFF" w:rsidRPr="00CA1BFF" w:rsidTr="00B81696">
        <w:trPr>
          <w:trHeight w:val="615"/>
        </w:trPr>
        <w:tc>
          <w:tcPr>
            <w:tcW w:w="0" w:type="auto"/>
            <w:vMerge/>
            <w:tcBorders>
              <w:top w:val="nil"/>
              <w:left w:val="single" w:sz="8" w:space="0" w:color="auto"/>
              <w:bottom w:val="nil"/>
              <w:right w:val="single" w:sz="8" w:space="0" w:color="auto"/>
            </w:tcBorders>
            <w:vAlign w:val="center"/>
            <w:hideMark/>
          </w:tcPr>
          <w:p w:rsidR="00CA1BFF" w:rsidRPr="00CA1BFF" w:rsidRDefault="00CA1BFF" w:rsidP="00CA1BFF">
            <w:pPr>
              <w:widowControl/>
              <w:adjustRightInd w:val="0"/>
              <w:snapToGrid w:val="0"/>
              <w:spacing w:before="100" w:beforeAutospacing="1" w:after="100" w:afterAutospacing="1"/>
              <w:rPr>
                <w:rFonts w:ascii="新細明體" w:eastAsia="新細明體" w:hAnsi="新細明體" w:cs="新細明體"/>
                <w:kern w:val="0"/>
                <w:szCs w:val="24"/>
              </w:rPr>
            </w:pPr>
          </w:p>
        </w:tc>
        <w:tc>
          <w:tcPr>
            <w:tcW w:w="0" w:type="auto"/>
            <w:vMerge/>
            <w:tcBorders>
              <w:top w:val="nil"/>
              <w:left w:val="nil"/>
              <w:bottom w:val="nil"/>
              <w:right w:val="single" w:sz="8" w:space="0" w:color="auto"/>
            </w:tcBorders>
            <w:vAlign w:val="center"/>
            <w:hideMark/>
          </w:tcPr>
          <w:p w:rsidR="00CA1BFF" w:rsidRPr="00CA1BFF" w:rsidRDefault="00CA1BFF" w:rsidP="00CA1BFF">
            <w:pPr>
              <w:widowControl/>
              <w:adjustRightInd w:val="0"/>
              <w:snapToGrid w:val="0"/>
              <w:spacing w:before="100" w:beforeAutospacing="1" w:after="100" w:afterAutospacing="1"/>
              <w:rPr>
                <w:rFonts w:ascii="新細明體" w:eastAsia="新細明體" w:hAnsi="新細明體" w:cs="新細明體"/>
                <w:kern w:val="0"/>
                <w:szCs w:val="24"/>
              </w:rPr>
            </w:pPr>
          </w:p>
        </w:tc>
        <w:tc>
          <w:tcPr>
            <w:tcW w:w="1000" w:type="pct"/>
            <w:tcBorders>
              <w:top w:val="nil"/>
              <w:left w:val="nil"/>
              <w:bottom w:val="nil"/>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中度以上</w:t>
            </w:r>
          </w:p>
        </w:tc>
        <w:tc>
          <w:tcPr>
            <w:tcW w:w="750" w:type="pct"/>
            <w:tcBorders>
              <w:top w:val="nil"/>
              <w:left w:val="nil"/>
              <w:bottom w:val="nil"/>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五千</w:t>
            </w:r>
          </w:p>
        </w:tc>
        <w:tc>
          <w:tcPr>
            <w:tcW w:w="800" w:type="pct"/>
            <w:tcBorders>
              <w:top w:val="nil"/>
              <w:left w:val="nil"/>
              <w:bottom w:val="nil"/>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二萬二千</w:t>
            </w:r>
          </w:p>
        </w:tc>
        <w:tc>
          <w:tcPr>
            <w:tcW w:w="800" w:type="pct"/>
            <w:tcBorders>
              <w:top w:val="nil"/>
              <w:left w:val="nil"/>
              <w:bottom w:val="nil"/>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三千</w:t>
            </w:r>
          </w:p>
        </w:tc>
        <w:tc>
          <w:tcPr>
            <w:tcW w:w="700" w:type="pct"/>
            <w:tcBorders>
              <w:top w:val="nil"/>
              <w:left w:val="nil"/>
              <w:bottom w:val="nil"/>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二萬</w:t>
            </w:r>
          </w:p>
        </w:tc>
      </w:tr>
      <w:tr w:rsidR="00CA1BFF" w:rsidRPr="00CA1BFF" w:rsidTr="00B81696">
        <w:trPr>
          <w:trHeight w:val="615"/>
        </w:trPr>
        <w:tc>
          <w:tcPr>
            <w:tcW w:w="0" w:type="auto"/>
            <w:vMerge/>
            <w:tcBorders>
              <w:top w:val="nil"/>
              <w:left w:val="single" w:sz="8" w:space="0" w:color="auto"/>
              <w:bottom w:val="nil"/>
              <w:right w:val="single" w:sz="8" w:space="0" w:color="auto"/>
            </w:tcBorders>
            <w:vAlign w:val="center"/>
            <w:hideMark/>
          </w:tcPr>
          <w:p w:rsidR="00CA1BFF" w:rsidRPr="00CA1BFF" w:rsidRDefault="00CA1BFF" w:rsidP="00CA1BFF">
            <w:pPr>
              <w:widowControl/>
              <w:adjustRightInd w:val="0"/>
              <w:snapToGrid w:val="0"/>
              <w:spacing w:before="100" w:beforeAutospacing="1" w:after="100" w:afterAutospacing="1"/>
              <w:rPr>
                <w:rFonts w:ascii="新細明體" w:eastAsia="新細明體" w:hAnsi="新細明體" w:cs="新細明體"/>
                <w:kern w:val="0"/>
                <w:szCs w:val="24"/>
              </w:rPr>
            </w:pPr>
          </w:p>
        </w:tc>
        <w:tc>
          <w:tcPr>
            <w:tcW w:w="600" w:type="pct"/>
            <w:tcBorders>
              <w:top w:val="single" w:sz="8" w:space="0" w:color="auto"/>
              <w:left w:val="nil"/>
              <w:bottom w:val="nil"/>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rPr>
                <w:rFonts w:ascii="新細明體" w:eastAsia="新細明體" w:hAnsi="新細明體" w:cs="新細明體"/>
                <w:kern w:val="0"/>
                <w:szCs w:val="24"/>
              </w:rPr>
            </w:pPr>
            <w:r w:rsidRPr="00CA1BFF">
              <w:rPr>
                <w:rFonts w:ascii="新細明體" w:eastAsia="新細明體" w:hAnsi="新細明體" w:cs="新細明體"/>
                <w:kern w:val="0"/>
                <w:szCs w:val="24"/>
              </w:rPr>
              <w:t>多重障礙</w:t>
            </w:r>
          </w:p>
        </w:tc>
        <w:tc>
          <w:tcPr>
            <w:tcW w:w="1000" w:type="pct"/>
            <w:tcBorders>
              <w:top w:val="single" w:sz="8" w:space="0" w:color="auto"/>
              <w:left w:val="nil"/>
              <w:bottom w:val="nil"/>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 </w:t>
            </w:r>
          </w:p>
        </w:tc>
        <w:tc>
          <w:tcPr>
            <w:tcW w:w="750" w:type="pct"/>
            <w:tcBorders>
              <w:top w:val="single" w:sz="8" w:space="0" w:color="auto"/>
              <w:left w:val="nil"/>
              <w:bottom w:val="nil"/>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六千</w:t>
            </w:r>
          </w:p>
        </w:tc>
        <w:tc>
          <w:tcPr>
            <w:tcW w:w="800" w:type="pct"/>
            <w:tcBorders>
              <w:top w:val="single" w:sz="8" w:space="0" w:color="auto"/>
              <w:left w:val="nil"/>
              <w:bottom w:val="nil"/>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四萬</w:t>
            </w:r>
          </w:p>
        </w:tc>
        <w:tc>
          <w:tcPr>
            <w:tcW w:w="800" w:type="pct"/>
            <w:tcBorders>
              <w:top w:val="single" w:sz="8" w:space="0" w:color="auto"/>
              <w:left w:val="nil"/>
              <w:bottom w:val="nil"/>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四千</w:t>
            </w:r>
          </w:p>
        </w:tc>
        <w:tc>
          <w:tcPr>
            <w:tcW w:w="700" w:type="pct"/>
            <w:tcBorders>
              <w:top w:val="single" w:sz="8" w:space="0" w:color="auto"/>
              <w:left w:val="nil"/>
              <w:bottom w:val="nil"/>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二萬</w:t>
            </w:r>
          </w:p>
        </w:tc>
      </w:tr>
      <w:tr w:rsidR="00CA1BFF" w:rsidRPr="00CA1BFF" w:rsidTr="00B81696">
        <w:trPr>
          <w:trHeight w:val="615"/>
        </w:trPr>
        <w:tc>
          <w:tcPr>
            <w:tcW w:w="0" w:type="auto"/>
            <w:vMerge/>
            <w:tcBorders>
              <w:top w:val="nil"/>
              <w:left w:val="single" w:sz="8" w:space="0" w:color="auto"/>
              <w:bottom w:val="nil"/>
              <w:right w:val="single" w:sz="8" w:space="0" w:color="auto"/>
            </w:tcBorders>
            <w:vAlign w:val="center"/>
            <w:hideMark/>
          </w:tcPr>
          <w:p w:rsidR="00CA1BFF" w:rsidRPr="00CA1BFF" w:rsidRDefault="00CA1BFF" w:rsidP="00CA1BFF">
            <w:pPr>
              <w:widowControl/>
              <w:adjustRightInd w:val="0"/>
              <w:snapToGrid w:val="0"/>
              <w:spacing w:before="100" w:beforeAutospacing="1" w:after="100" w:afterAutospacing="1"/>
              <w:rPr>
                <w:rFonts w:ascii="新細明體" w:eastAsia="新細明體" w:hAnsi="新細明體" w:cs="新細明體"/>
                <w:kern w:val="0"/>
                <w:szCs w:val="24"/>
              </w:rPr>
            </w:pPr>
          </w:p>
        </w:tc>
        <w:tc>
          <w:tcPr>
            <w:tcW w:w="600"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rPr>
                <w:rFonts w:ascii="新細明體" w:eastAsia="新細明體" w:hAnsi="新細明體" w:cs="新細明體"/>
                <w:kern w:val="0"/>
                <w:szCs w:val="24"/>
              </w:rPr>
            </w:pPr>
            <w:r w:rsidRPr="00CA1BFF">
              <w:rPr>
                <w:rFonts w:ascii="新細明體" w:eastAsia="新細明體" w:hAnsi="新細明體" w:cs="新細明體"/>
                <w:kern w:val="0"/>
                <w:szCs w:val="24"/>
              </w:rPr>
              <w:t>其他障礙</w:t>
            </w:r>
          </w:p>
        </w:tc>
        <w:tc>
          <w:tcPr>
            <w:tcW w:w="10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輕度</w:t>
            </w:r>
          </w:p>
        </w:tc>
        <w:tc>
          <w:tcPr>
            <w:tcW w:w="75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四千</w:t>
            </w:r>
          </w:p>
        </w:tc>
        <w:tc>
          <w:tcPr>
            <w:tcW w:w="8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一萬二千</w:t>
            </w:r>
          </w:p>
        </w:tc>
        <w:tc>
          <w:tcPr>
            <w:tcW w:w="8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二千</w:t>
            </w:r>
          </w:p>
        </w:tc>
        <w:tc>
          <w:tcPr>
            <w:tcW w:w="7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一萬</w:t>
            </w:r>
          </w:p>
        </w:tc>
      </w:tr>
      <w:tr w:rsidR="00CA1BFF" w:rsidRPr="00CA1BFF" w:rsidTr="00B81696">
        <w:trPr>
          <w:trHeight w:val="615"/>
        </w:trPr>
        <w:tc>
          <w:tcPr>
            <w:tcW w:w="0" w:type="auto"/>
            <w:vMerge/>
            <w:tcBorders>
              <w:top w:val="nil"/>
              <w:left w:val="single" w:sz="8" w:space="0" w:color="auto"/>
              <w:bottom w:val="nil"/>
              <w:right w:val="single" w:sz="8" w:space="0" w:color="auto"/>
            </w:tcBorders>
            <w:vAlign w:val="center"/>
            <w:hideMark/>
          </w:tcPr>
          <w:p w:rsidR="00CA1BFF" w:rsidRPr="00CA1BFF" w:rsidRDefault="00CA1BFF" w:rsidP="00CA1BFF">
            <w:pPr>
              <w:widowControl/>
              <w:adjustRightInd w:val="0"/>
              <w:snapToGrid w:val="0"/>
              <w:spacing w:before="100" w:beforeAutospacing="1" w:after="100" w:afterAutospacing="1"/>
              <w:rPr>
                <w:rFonts w:ascii="新細明體" w:eastAsia="新細明體" w:hAnsi="新細明體" w:cs="新細明體"/>
                <w:kern w:val="0"/>
                <w:szCs w:val="24"/>
              </w:rPr>
            </w:pPr>
          </w:p>
        </w:tc>
        <w:tc>
          <w:tcPr>
            <w:tcW w:w="0" w:type="auto"/>
            <w:vMerge/>
            <w:tcBorders>
              <w:top w:val="single" w:sz="8" w:space="0" w:color="auto"/>
              <w:left w:val="nil"/>
              <w:bottom w:val="single" w:sz="8" w:space="0" w:color="auto"/>
              <w:right w:val="single" w:sz="8" w:space="0" w:color="auto"/>
            </w:tcBorders>
            <w:vAlign w:val="center"/>
            <w:hideMark/>
          </w:tcPr>
          <w:p w:rsidR="00CA1BFF" w:rsidRPr="00CA1BFF" w:rsidRDefault="00CA1BFF" w:rsidP="00CA1BFF">
            <w:pPr>
              <w:widowControl/>
              <w:adjustRightInd w:val="0"/>
              <w:snapToGrid w:val="0"/>
              <w:spacing w:before="100" w:beforeAutospacing="1" w:after="100" w:afterAutospacing="1"/>
              <w:rPr>
                <w:rFonts w:ascii="新細明體" w:eastAsia="新細明體" w:hAnsi="新細明體" w:cs="新細明體"/>
                <w:kern w:val="0"/>
                <w:szCs w:val="24"/>
              </w:rPr>
            </w:pPr>
          </w:p>
        </w:tc>
        <w:tc>
          <w:tcPr>
            <w:tcW w:w="1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中度以上</w:t>
            </w:r>
          </w:p>
        </w:tc>
        <w:tc>
          <w:tcPr>
            <w:tcW w:w="7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五千</w:t>
            </w:r>
          </w:p>
        </w:tc>
        <w:tc>
          <w:tcPr>
            <w:tcW w:w="8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二萬</w:t>
            </w:r>
          </w:p>
        </w:tc>
        <w:tc>
          <w:tcPr>
            <w:tcW w:w="8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三千</w:t>
            </w:r>
          </w:p>
        </w:tc>
        <w:tc>
          <w:tcPr>
            <w:tcW w:w="7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一萬二千</w:t>
            </w:r>
          </w:p>
        </w:tc>
      </w:tr>
      <w:tr w:rsidR="00CA1BFF" w:rsidRPr="00CA1BFF" w:rsidTr="00B81696">
        <w:trPr>
          <w:trHeight w:val="515"/>
        </w:trPr>
        <w:tc>
          <w:tcPr>
            <w:tcW w:w="20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資</w:t>
            </w:r>
          </w:p>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賦</w:t>
            </w:r>
          </w:p>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優</w:t>
            </w:r>
          </w:p>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異</w:t>
            </w:r>
          </w:p>
        </w:tc>
        <w:tc>
          <w:tcPr>
            <w:tcW w:w="1650" w:type="pct"/>
            <w:gridSpan w:val="2"/>
            <w:tcBorders>
              <w:top w:val="nil"/>
              <w:left w:val="nil"/>
              <w:bottom w:val="single" w:sz="8" w:space="0" w:color="000000"/>
              <w:right w:val="single" w:sz="8" w:space="0" w:color="auto"/>
            </w:tcBorders>
            <w:tcMar>
              <w:top w:w="0" w:type="dxa"/>
              <w:left w:w="28" w:type="dxa"/>
              <w:bottom w:w="0" w:type="dxa"/>
              <w:right w:w="28" w:type="dxa"/>
            </w:tcMar>
            <w:hideMark/>
          </w:tcPr>
          <w:p w:rsidR="00CA1BFF" w:rsidRPr="00CA1BFF" w:rsidRDefault="00CA1BFF" w:rsidP="00CA1BFF">
            <w:pPr>
              <w:widowControl/>
              <w:adjustRightInd w:val="0"/>
              <w:snapToGrid w:val="0"/>
              <w:spacing w:before="100" w:beforeAutospacing="1" w:after="100" w:afterAutospacing="1" w:line="272" w:lineRule="atLeast"/>
              <w:jc w:val="both"/>
              <w:rPr>
                <w:rFonts w:ascii="新細明體" w:eastAsia="新細明體" w:hAnsi="新細明體" w:cs="新細明體"/>
                <w:kern w:val="0"/>
                <w:szCs w:val="24"/>
              </w:rPr>
            </w:pPr>
            <w:r w:rsidRPr="00CA1BFF">
              <w:rPr>
                <w:rFonts w:ascii="新細明體" w:eastAsia="新細明體" w:hAnsi="新細明體" w:cs="新細明體"/>
                <w:kern w:val="0"/>
                <w:szCs w:val="24"/>
              </w:rPr>
              <w:t>符合特殊教育法第四條所定學術性向資賦優異、藝術才能資賦優異、創造能力資賦優異、領導能力資賦優異或其他特殊才能資賦優異之學生。</w:t>
            </w:r>
          </w:p>
        </w:tc>
        <w:tc>
          <w:tcPr>
            <w:tcW w:w="750" w:type="pct"/>
            <w:tcBorders>
              <w:top w:val="nil"/>
              <w:left w:val="nil"/>
              <w:bottom w:val="single" w:sz="8" w:space="0" w:color="000000"/>
              <w:right w:val="single" w:sz="8" w:space="0" w:color="auto"/>
            </w:tcBorders>
            <w:tcMar>
              <w:top w:w="0" w:type="dxa"/>
              <w:left w:w="28" w:type="dxa"/>
              <w:bottom w:w="0" w:type="dxa"/>
              <w:right w:w="28" w:type="dxa"/>
            </w:tcMa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一萬</w:t>
            </w:r>
          </w:p>
        </w:tc>
        <w:tc>
          <w:tcPr>
            <w:tcW w:w="800" w:type="pct"/>
            <w:tcBorders>
              <w:top w:val="nil"/>
              <w:left w:val="nil"/>
              <w:bottom w:val="single" w:sz="8" w:space="0" w:color="000000"/>
              <w:right w:val="single" w:sz="8" w:space="0" w:color="auto"/>
            </w:tcBorders>
            <w:tcMar>
              <w:top w:w="0" w:type="dxa"/>
              <w:left w:w="28" w:type="dxa"/>
              <w:bottom w:w="0" w:type="dxa"/>
              <w:right w:w="28" w:type="dxa"/>
            </w:tcMa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四萬</w:t>
            </w:r>
          </w:p>
        </w:tc>
        <w:tc>
          <w:tcPr>
            <w:tcW w:w="800" w:type="pct"/>
            <w:tcBorders>
              <w:top w:val="nil"/>
              <w:left w:val="nil"/>
              <w:bottom w:val="single" w:sz="8" w:space="0" w:color="000000"/>
              <w:right w:val="single" w:sz="8" w:space="0" w:color="auto"/>
            </w:tcBorders>
            <w:tcMar>
              <w:top w:w="0" w:type="dxa"/>
              <w:left w:w="28" w:type="dxa"/>
              <w:bottom w:w="0" w:type="dxa"/>
              <w:right w:w="28" w:type="dxa"/>
            </w:tcMa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 xml:space="preserve">　</w:t>
            </w:r>
          </w:p>
        </w:tc>
        <w:tc>
          <w:tcPr>
            <w:tcW w:w="700" w:type="pct"/>
            <w:tcBorders>
              <w:top w:val="nil"/>
              <w:left w:val="nil"/>
              <w:bottom w:val="single" w:sz="8" w:space="0" w:color="000000"/>
              <w:right w:val="single" w:sz="8" w:space="0" w:color="auto"/>
            </w:tcBorders>
            <w:tcMar>
              <w:top w:w="0" w:type="dxa"/>
              <w:left w:w="28" w:type="dxa"/>
              <w:bottom w:w="0" w:type="dxa"/>
              <w:right w:w="28" w:type="dxa"/>
            </w:tcMar>
            <w:vAlign w:val="center"/>
            <w:hideMark/>
          </w:tcPr>
          <w:p w:rsidR="00CA1BFF" w:rsidRPr="00CA1BFF" w:rsidRDefault="00CA1BFF" w:rsidP="00CA1BFF">
            <w:pPr>
              <w:widowControl/>
              <w:adjustRightInd w:val="0"/>
              <w:snapToGrid w:val="0"/>
              <w:spacing w:before="100" w:beforeAutospacing="1" w:after="100" w:afterAutospacing="1" w:line="272" w:lineRule="atLeast"/>
              <w:jc w:val="center"/>
              <w:rPr>
                <w:rFonts w:ascii="新細明體" w:eastAsia="新細明體" w:hAnsi="新細明體" w:cs="新細明體"/>
                <w:kern w:val="0"/>
                <w:szCs w:val="24"/>
              </w:rPr>
            </w:pPr>
            <w:r w:rsidRPr="00CA1BFF">
              <w:rPr>
                <w:rFonts w:ascii="新細明體" w:eastAsia="新細明體" w:hAnsi="新細明體" w:cs="新細明體"/>
                <w:kern w:val="0"/>
                <w:szCs w:val="24"/>
              </w:rPr>
              <w:t xml:space="preserve">　</w:t>
            </w:r>
          </w:p>
        </w:tc>
      </w:tr>
    </w:tbl>
    <w:p w:rsidR="00CA1BFF" w:rsidRPr="00CA1BFF" w:rsidRDefault="00CA1BFF" w:rsidP="00CA1BFF">
      <w:pPr>
        <w:widowControl/>
        <w:adjustRightInd w:val="0"/>
        <w:snapToGrid w:val="0"/>
        <w:spacing w:before="100" w:beforeAutospacing="1" w:after="100" w:afterAutospacing="1" w:line="460" w:lineRule="atLeast"/>
        <w:ind w:left="997" w:right="23" w:hanging="980"/>
        <w:jc w:val="both"/>
        <w:rPr>
          <w:rFonts w:ascii="新細明體" w:eastAsia="新細明體" w:hAnsi="新細明體" w:cs="新細明體"/>
          <w:color w:val="000000"/>
          <w:kern w:val="0"/>
          <w:szCs w:val="24"/>
        </w:rPr>
      </w:pPr>
      <w:r w:rsidRPr="00CA1BFF">
        <w:rPr>
          <w:rFonts w:ascii="新細明體" w:eastAsia="新細明體" w:hAnsi="新細明體" w:cs="新細明體"/>
          <w:color w:val="000000"/>
          <w:kern w:val="0"/>
          <w:sz w:val="28"/>
          <w:szCs w:val="28"/>
        </w:rPr>
        <w:t>           未領有身心障礙手冊，經各級主管機關特殊教育學生鑑定及就學輔導會鑑定通過之身心障礙學生，其獎補助金額，比照身心障礙手冊其他障礙類別輕度等級規定辦理。</w:t>
      </w:r>
    </w:p>
    <w:p w:rsidR="00CA1BFF" w:rsidRPr="00CA1BFF" w:rsidRDefault="00CA1BFF" w:rsidP="00CA1BFF">
      <w:pPr>
        <w:widowControl/>
        <w:adjustRightInd w:val="0"/>
        <w:snapToGrid w:val="0"/>
        <w:spacing w:before="100" w:beforeAutospacing="1" w:after="100" w:afterAutospacing="1" w:line="460" w:lineRule="atLeast"/>
        <w:ind w:left="980" w:hanging="980"/>
        <w:rPr>
          <w:rFonts w:ascii="新細明體" w:eastAsia="新細明體" w:hAnsi="新細明體" w:cs="新細明體"/>
          <w:color w:val="000000"/>
          <w:kern w:val="0"/>
          <w:szCs w:val="24"/>
        </w:rPr>
      </w:pPr>
      <w:r w:rsidRPr="00CA1BFF">
        <w:rPr>
          <w:rFonts w:ascii="新細明體" w:eastAsia="新細明體" w:hAnsi="新細明體" w:cs="新細明體"/>
          <w:color w:val="000000"/>
          <w:kern w:val="0"/>
          <w:sz w:val="28"/>
          <w:szCs w:val="28"/>
        </w:rPr>
        <w:t>第七條     符合本辦法之特殊教育學生，應於就讀學校所定時間內，檢附相關證明文件申請核發獎學金或補助金，逾期不予受理。</w:t>
      </w:r>
    </w:p>
    <w:p w:rsidR="00CA1BFF" w:rsidRPr="00CA1BFF" w:rsidRDefault="00CA1BFF" w:rsidP="00CA1BFF">
      <w:pPr>
        <w:widowControl/>
        <w:adjustRightInd w:val="0"/>
        <w:snapToGrid w:val="0"/>
        <w:spacing w:before="100" w:beforeAutospacing="1" w:after="100" w:afterAutospacing="1" w:line="460" w:lineRule="atLeast"/>
        <w:ind w:left="974" w:firstLine="560"/>
        <w:jc w:val="both"/>
        <w:rPr>
          <w:rFonts w:ascii="細明體" w:eastAsia="細明體" w:hAnsi="細明體" w:cs="新細明體"/>
          <w:color w:val="000000"/>
          <w:kern w:val="0"/>
          <w:sz w:val="16"/>
          <w:szCs w:val="16"/>
        </w:rPr>
      </w:pPr>
      <w:r w:rsidRPr="00CA1BFF">
        <w:rPr>
          <w:rFonts w:ascii="細明體" w:eastAsia="細明體" w:hAnsi="細明體" w:cs="新細明體" w:hint="eastAsia"/>
          <w:color w:val="000000"/>
          <w:kern w:val="0"/>
          <w:sz w:val="28"/>
          <w:szCs w:val="28"/>
        </w:rPr>
        <w:t>前項學校應於每年一月三十一日前填報統計表送主管機關備查。私立高級中等以上學校，並應同時造具印領清冊報主管機關請撥獎補助經費。</w:t>
      </w:r>
    </w:p>
    <w:p w:rsidR="00CA1BFF" w:rsidRPr="00CA1BFF" w:rsidRDefault="00CA1BFF" w:rsidP="00CA1BFF">
      <w:pPr>
        <w:widowControl/>
        <w:adjustRightInd w:val="0"/>
        <w:snapToGrid w:val="0"/>
        <w:spacing w:before="100" w:beforeAutospacing="1" w:after="100" w:afterAutospacing="1" w:line="460" w:lineRule="atLeast"/>
        <w:ind w:left="980" w:hanging="980"/>
        <w:rPr>
          <w:rFonts w:ascii="新細明體" w:eastAsia="新細明體" w:hAnsi="新細明體" w:cs="新細明體" w:hint="eastAsia"/>
          <w:color w:val="000000"/>
          <w:kern w:val="0"/>
          <w:szCs w:val="24"/>
        </w:rPr>
      </w:pPr>
      <w:r w:rsidRPr="00CA1BFF">
        <w:rPr>
          <w:rFonts w:ascii="新細明體" w:eastAsia="新細明體" w:hAnsi="新細明體" w:cs="新細明體"/>
          <w:color w:val="000000"/>
          <w:kern w:val="0"/>
          <w:sz w:val="28"/>
          <w:szCs w:val="28"/>
        </w:rPr>
        <w:t>第八條     公立學校發給獎學金、補助金所需經費，依預算程序編列；私立學校，由主管機關編列預算支應。</w:t>
      </w:r>
    </w:p>
    <w:p w:rsidR="00CA1BFF" w:rsidRPr="00CA1BFF" w:rsidRDefault="00CA1BFF" w:rsidP="00CA1BFF">
      <w:pPr>
        <w:widowControl/>
        <w:adjustRightInd w:val="0"/>
        <w:snapToGrid w:val="0"/>
        <w:spacing w:before="100" w:beforeAutospacing="1" w:after="100" w:afterAutospacing="1" w:line="460" w:lineRule="atLeast"/>
        <w:ind w:left="980" w:hanging="980"/>
        <w:rPr>
          <w:rFonts w:ascii="新細明體" w:eastAsia="新細明體" w:hAnsi="新細明體" w:cs="新細明體"/>
          <w:color w:val="000000"/>
          <w:kern w:val="0"/>
          <w:szCs w:val="24"/>
        </w:rPr>
      </w:pPr>
      <w:r w:rsidRPr="00CA1BFF">
        <w:rPr>
          <w:rFonts w:ascii="新細明體" w:eastAsia="新細明體" w:hAnsi="新細明體" w:cs="新細明體"/>
          <w:color w:val="000000"/>
          <w:kern w:val="0"/>
          <w:sz w:val="28"/>
          <w:szCs w:val="28"/>
        </w:rPr>
        <w:t>第九條     為鼓勵身心障礙之優秀大專校院畢業生赴國外進修，本部得視實際需要，訂定名額辦理公費留學考試。</w:t>
      </w:r>
    </w:p>
    <w:p w:rsidR="00CA1BFF" w:rsidRPr="00CA1BFF" w:rsidRDefault="00CA1BFF" w:rsidP="00CA1BFF">
      <w:pPr>
        <w:widowControl/>
        <w:adjustRightInd w:val="0"/>
        <w:snapToGrid w:val="0"/>
        <w:spacing w:before="100" w:beforeAutospacing="1" w:after="100" w:afterAutospacing="1" w:line="460" w:lineRule="atLeast"/>
        <w:ind w:left="840" w:hanging="840"/>
        <w:rPr>
          <w:rFonts w:ascii="新細明體" w:eastAsia="新細明體" w:hAnsi="新細明體" w:cs="新細明體"/>
          <w:color w:val="000000"/>
          <w:kern w:val="0"/>
          <w:szCs w:val="24"/>
        </w:rPr>
      </w:pPr>
      <w:r w:rsidRPr="00CA1BFF">
        <w:rPr>
          <w:rFonts w:ascii="新細明體" w:eastAsia="新細明體" w:hAnsi="新細明體" w:cs="新細明體"/>
          <w:color w:val="000000"/>
          <w:kern w:val="0"/>
          <w:sz w:val="28"/>
          <w:szCs w:val="28"/>
        </w:rPr>
        <w:t>第十條     本辦法自發布日施行。</w:t>
      </w:r>
    </w:p>
    <w:p w:rsidR="00CA1BFF" w:rsidRPr="00CA1BFF" w:rsidRDefault="00CA1BFF"/>
    <w:p w:rsidR="00CA1BFF" w:rsidRPr="00CA1BFF" w:rsidRDefault="00CA1BFF" w:rsidP="00CA1BFF">
      <w:pPr>
        <w:widowControl/>
        <w:rPr>
          <w:rFonts w:ascii="新細明體" w:eastAsia="新細明體" w:hAnsi="新細明體" w:cs="新細明體"/>
          <w:vanish/>
          <w:kern w:val="0"/>
          <w:szCs w:val="24"/>
        </w:rPr>
      </w:pPr>
    </w:p>
    <w:p w:rsidR="00E30703" w:rsidRPr="00CA1BFF" w:rsidRDefault="00E30703"/>
    <w:sectPr w:rsidR="00E30703" w:rsidRPr="00CA1BFF" w:rsidSect="00CA1BFF">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703" w:rsidRDefault="00E30703" w:rsidP="00CA1BFF">
      <w:r>
        <w:separator/>
      </w:r>
    </w:p>
  </w:endnote>
  <w:endnote w:type="continuationSeparator" w:id="1">
    <w:p w:rsidR="00E30703" w:rsidRDefault="00E30703" w:rsidP="00CA1B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703" w:rsidRDefault="00E30703" w:rsidP="00CA1BFF">
      <w:r>
        <w:separator/>
      </w:r>
    </w:p>
  </w:footnote>
  <w:footnote w:type="continuationSeparator" w:id="1">
    <w:p w:rsidR="00E30703" w:rsidRDefault="00E30703" w:rsidP="00CA1B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1BFF"/>
    <w:rsid w:val="00CA1BFF"/>
    <w:rsid w:val="00E3070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A1BFF"/>
    <w:pPr>
      <w:tabs>
        <w:tab w:val="center" w:pos="4153"/>
        <w:tab w:val="right" w:pos="8306"/>
      </w:tabs>
      <w:snapToGrid w:val="0"/>
    </w:pPr>
    <w:rPr>
      <w:sz w:val="20"/>
      <w:szCs w:val="20"/>
    </w:rPr>
  </w:style>
  <w:style w:type="character" w:customStyle="1" w:styleId="a4">
    <w:name w:val="頁首 字元"/>
    <w:basedOn w:val="a0"/>
    <w:link w:val="a3"/>
    <w:uiPriority w:val="99"/>
    <w:semiHidden/>
    <w:rsid w:val="00CA1BFF"/>
    <w:rPr>
      <w:sz w:val="20"/>
      <w:szCs w:val="20"/>
    </w:rPr>
  </w:style>
  <w:style w:type="paragraph" w:styleId="a5">
    <w:name w:val="footer"/>
    <w:basedOn w:val="a"/>
    <w:link w:val="a6"/>
    <w:uiPriority w:val="99"/>
    <w:semiHidden/>
    <w:unhideWhenUsed/>
    <w:rsid w:val="00CA1BFF"/>
    <w:pPr>
      <w:tabs>
        <w:tab w:val="center" w:pos="4153"/>
        <w:tab w:val="right" w:pos="8306"/>
      </w:tabs>
      <w:snapToGrid w:val="0"/>
    </w:pPr>
    <w:rPr>
      <w:sz w:val="20"/>
      <w:szCs w:val="20"/>
    </w:rPr>
  </w:style>
  <w:style w:type="character" w:customStyle="1" w:styleId="a6">
    <w:name w:val="頁尾 字元"/>
    <w:basedOn w:val="a0"/>
    <w:link w:val="a5"/>
    <w:uiPriority w:val="99"/>
    <w:semiHidden/>
    <w:rsid w:val="00CA1BFF"/>
    <w:rPr>
      <w:sz w:val="20"/>
      <w:szCs w:val="20"/>
    </w:rPr>
  </w:style>
  <w:style w:type="character" w:styleId="a7">
    <w:name w:val="Hyperlink"/>
    <w:basedOn w:val="a0"/>
    <w:uiPriority w:val="99"/>
    <w:semiHidden/>
    <w:unhideWhenUsed/>
    <w:rsid w:val="00CA1BFF"/>
    <w:rPr>
      <w:color w:val="0000FF"/>
      <w:u w:val="single"/>
    </w:rPr>
  </w:style>
  <w:style w:type="character" w:customStyle="1" w:styleId="memotext3">
    <w:name w:val="memo_text3"/>
    <w:basedOn w:val="a0"/>
    <w:rsid w:val="00CA1BFF"/>
  </w:style>
  <w:style w:type="paragraph" w:styleId="a8">
    <w:name w:val="Plain Text"/>
    <w:basedOn w:val="a"/>
    <w:link w:val="a9"/>
    <w:uiPriority w:val="99"/>
    <w:semiHidden/>
    <w:unhideWhenUsed/>
    <w:rsid w:val="00CA1BFF"/>
    <w:pPr>
      <w:widowControl/>
      <w:spacing w:before="100" w:beforeAutospacing="1" w:after="100" w:afterAutospacing="1"/>
    </w:pPr>
    <w:rPr>
      <w:rFonts w:ascii="新細明體" w:eastAsia="新細明體" w:hAnsi="新細明體" w:cs="新細明體"/>
      <w:kern w:val="0"/>
      <w:szCs w:val="24"/>
    </w:rPr>
  </w:style>
  <w:style w:type="character" w:customStyle="1" w:styleId="a9">
    <w:name w:val="純文字 字元"/>
    <w:basedOn w:val="a0"/>
    <w:link w:val="a8"/>
    <w:uiPriority w:val="99"/>
    <w:semiHidden/>
    <w:rsid w:val="00CA1BFF"/>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64423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law.moe.gov.tw/LawContent.aspx?id=FL00917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288</Words>
  <Characters>1647</Characters>
  <Application>Microsoft Office Word</Application>
  <DocSecurity>0</DocSecurity>
  <Lines>13</Lines>
  <Paragraphs>3</Paragraphs>
  <ScaleCrop>false</ScaleCrop>
  <Company>SYNNEX</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2017-09-20T01:09:00Z</dcterms:created>
  <dcterms:modified xsi:type="dcterms:W3CDTF">2017-09-20T01:13:00Z</dcterms:modified>
</cp:coreProperties>
</file>